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3E20" w14:textId="77777777" w:rsidR="00460F5C" w:rsidRDefault="00460F5C" w:rsidP="00460F5C">
      <w:pPr>
        <w:pStyle w:val="ChapterHeading"/>
      </w:pPr>
      <w:r>
        <w:t>GreenCape J</w:t>
      </w:r>
      <w:r w:rsidRPr="003619FA">
        <w:t xml:space="preserve">ob Opportunity </w:t>
      </w:r>
    </w:p>
    <w:p w14:paraId="6BFC13EF" w14:textId="73CBA2E1" w:rsidR="00460F5C" w:rsidRPr="003619FA" w:rsidRDefault="00BF5731" w:rsidP="00460F5C">
      <w:pPr>
        <w:pStyle w:val="ChapterHeading"/>
      </w:pPr>
      <w:r>
        <w:t>Cross Border consultant</w:t>
      </w:r>
      <w:r w:rsidR="00460F5C" w:rsidRPr="003619FA">
        <w:t xml:space="preserve">: </w:t>
      </w:r>
      <w:r w:rsidR="00AE20AE">
        <w:t xml:space="preserve">Senior </w:t>
      </w:r>
      <w:r w:rsidR="00460F5C">
        <w:t>Analyst</w:t>
      </w:r>
      <w:r w:rsidR="00AE20AE">
        <w:t xml:space="preserve"> role</w:t>
      </w:r>
      <w:r w:rsidR="00460F5C">
        <w:t xml:space="preserve">  </w:t>
      </w:r>
      <w:r w:rsidR="00460F5C" w:rsidRPr="003619FA">
        <w:t xml:space="preserve">  </w:t>
      </w:r>
    </w:p>
    <w:p w14:paraId="4095AE83" w14:textId="77777777" w:rsidR="00460F5C" w:rsidRPr="003619FA" w:rsidRDefault="00460F5C" w:rsidP="00460F5C">
      <w:pPr>
        <w:pStyle w:val="Heading2"/>
        <w:numPr>
          <w:ilvl w:val="0"/>
          <w:numId w:val="0"/>
        </w:numPr>
      </w:pPr>
      <w:r w:rsidRPr="003619FA">
        <w:t>About GreenCape</w:t>
      </w:r>
    </w:p>
    <w:p w14:paraId="24F1E5A8" w14:textId="26D94FD3" w:rsidR="00C25367" w:rsidRDefault="00460F5C">
      <w:pPr>
        <w:pStyle w:val="BodyText"/>
      </w:pPr>
      <w:r w:rsidRPr="003619FA">
        <w:t xml:space="preserve">GreenCape is a non-profit organisation that supports </w:t>
      </w:r>
      <w:r w:rsidR="00391EBD">
        <w:t>the development of</w:t>
      </w:r>
      <w:r w:rsidRPr="003619FA">
        <w:t xml:space="preserve"> the green economy </w:t>
      </w:r>
      <w:r w:rsidR="00391EBD">
        <w:t>–</w:t>
      </w:r>
      <w:r w:rsidRPr="003619FA">
        <w:t xml:space="preserve"> </w:t>
      </w:r>
      <w:r w:rsidR="00391EBD">
        <w:t xml:space="preserve">one that is </w:t>
      </w:r>
      <w:r w:rsidRPr="003619FA">
        <w:t xml:space="preserve">low carbon, resource efficient and socially inclusive - in the Western Cape, South Africa. We assist </w:t>
      </w:r>
      <w:r w:rsidR="00391EBD">
        <w:t xml:space="preserve">green technology </w:t>
      </w:r>
      <w:r w:rsidRPr="003619FA">
        <w:t xml:space="preserve">businesses and investors focusing on green technologies and services to remove barriers to </w:t>
      </w:r>
      <w:r w:rsidR="00391EBD">
        <w:t xml:space="preserve">investment and </w:t>
      </w:r>
      <w:r w:rsidRPr="003619FA">
        <w:t xml:space="preserve">growth. For more details on GreenCape, see </w:t>
      </w:r>
      <w:r w:rsidRPr="003619FA">
        <w:rPr>
          <w:color w:val="00AB67" w:themeColor="text2"/>
          <w:u w:val="single"/>
        </w:rPr>
        <w:t>www.greencape.co.za.</w:t>
      </w:r>
    </w:p>
    <w:p w14:paraId="5B729029" w14:textId="49564844" w:rsidR="00C25367" w:rsidRDefault="00C25367" w:rsidP="0008644F">
      <w:pPr>
        <w:pStyle w:val="Heading2"/>
        <w:numPr>
          <w:ilvl w:val="0"/>
          <w:numId w:val="0"/>
        </w:numPr>
      </w:pPr>
      <w:r>
        <w:t>Background of</w:t>
      </w:r>
      <w:r w:rsidR="00CF2B21">
        <w:t xml:space="preserve"> the</w:t>
      </w:r>
      <w:r>
        <w:t xml:space="preserve"> Cross Border </w:t>
      </w:r>
      <w:r w:rsidR="00CF2B21">
        <w:t>facility</w:t>
      </w:r>
    </w:p>
    <w:p w14:paraId="2A39894C" w14:textId="7AE9A6C3" w:rsidR="00C25367" w:rsidRDefault="006B369D" w:rsidP="00C25367">
      <w:pPr>
        <w:pStyle w:val="BodyText"/>
      </w:pPr>
      <w:proofErr w:type="spellStart"/>
      <w:proofErr w:type="gramStart"/>
      <w:r>
        <w:t>infoDev</w:t>
      </w:r>
      <w:proofErr w:type="spellEnd"/>
      <w:proofErr w:type="gramEnd"/>
      <w:r w:rsidR="00C25367">
        <w:t xml:space="preserve">, a Global Partnership Program of </w:t>
      </w:r>
      <w:r w:rsidR="00C25367" w:rsidRPr="00A1495C">
        <w:rPr>
          <w:b/>
        </w:rPr>
        <w:t>The World Bank</w:t>
      </w:r>
      <w:r w:rsidR="00C25367">
        <w:t xml:space="preserve">, with support from the United Kingdom’s Department for International Development (DFID), </w:t>
      </w:r>
      <w:r w:rsidR="00C25367" w:rsidRPr="00D11E0D">
        <w:rPr>
          <w:b/>
        </w:rPr>
        <w:t>has launched the</w:t>
      </w:r>
      <w:r w:rsidR="00C25367">
        <w:t xml:space="preserve"> </w:t>
      </w:r>
      <w:r w:rsidR="00C25367" w:rsidRPr="005E1E22">
        <w:rPr>
          <w:b/>
        </w:rPr>
        <w:t>Market Connect program</w:t>
      </w:r>
      <w:r>
        <w:rPr>
          <w:b/>
        </w:rPr>
        <w:t>me</w:t>
      </w:r>
      <w:r w:rsidR="00C25367">
        <w:t xml:space="preserve"> as a component of its global Climate Technology Program (CTP). The objective of CTP is to accelerate the growth of local green technology sectors that contribute to climate change mitigation and adaptation. </w:t>
      </w:r>
    </w:p>
    <w:p w14:paraId="79D812E9" w14:textId="77777777" w:rsidR="005E1E22" w:rsidRDefault="005E1E22" w:rsidP="00C25367">
      <w:pPr>
        <w:pStyle w:val="BodyText"/>
      </w:pPr>
    </w:p>
    <w:p w14:paraId="0E1F2788" w14:textId="77777777" w:rsidR="00CF2B21" w:rsidRDefault="00C25367" w:rsidP="00C25367">
      <w:pPr>
        <w:pStyle w:val="BodyText"/>
      </w:pPr>
      <w:r w:rsidRPr="00DA10E1">
        <w:rPr>
          <w:b/>
        </w:rPr>
        <w:t>Market Connect</w:t>
      </w:r>
      <w:r>
        <w:t xml:space="preserve"> is a global centrally-managed pilot program under CTP which </w:t>
      </w:r>
      <w:r w:rsidRPr="00D11E0D">
        <w:rPr>
          <w:b/>
        </w:rPr>
        <w:t>creates bridges between revenue-generating green ventures in developing countries and the global assets that they require to succeed.</w:t>
      </w:r>
      <w:r>
        <w:t xml:space="preserve"> These ventures access Market Connect services via local intermediary institutions who are part of the Market Connect program. South Africa is the host of the Market Connect program’s first pilot, which aims to answer the following question: </w:t>
      </w:r>
      <w:r w:rsidR="00DA10E1" w:rsidRPr="00F0458B">
        <w:rPr>
          <w:i/>
        </w:rPr>
        <w:t>“</w:t>
      </w:r>
      <w:r w:rsidRPr="00F0458B">
        <w:rPr>
          <w:i/>
        </w:rPr>
        <w:t>How can we support South African Green Small Growing Businesses (SGBs) in identifying and testing international business models and/or making the links to globally experienced companies to unlock value and create new opportunities?</w:t>
      </w:r>
      <w:r w:rsidR="00DA10E1" w:rsidRPr="00F0458B">
        <w:rPr>
          <w:i/>
        </w:rPr>
        <w:t>”</w:t>
      </w:r>
      <w:r>
        <w:t xml:space="preserve"> </w:t>
      </w:r>
    </w:p>
    <w:p w14:paraId="0EEA0D16" w14:textId="77777777" w:rsidR="00CF2B21" w:rsidRDefault="00CF2B21" w:rsidP="00C25367">
      <w:pPr>
        <w:pStyle w:val="BodyText"/>
      </w:pPr>
    </w:p>
    <w:p w14:paraId="41D14DCA" w14:textId="5C3C432D" w:rsidR="00DA10E1" w:rsidRDefault="00C25367" w:rsidP="00C25367">
      <w:pPr>
        <w:pStyle w:val="BodyText"/>
      </w:pPr>
      <w:r>
        <w:t xml:space="preserve">The </w:t>
      </w:r>
      <w:r w:rsidRPr="00D11E0D">
        <w:rPr>
          <w:b/>
        </w:rPr>
        <w:t>local partners</w:t>
      </w:r>
      <w:r>
        <w:t xml:space="preserve"> for this activity in South Africa include GreenCape</w:t>
      </w:r>
      <w:r w:rsidR="00DA10E1">
        <w:t xml:space="preserve"> (Programme Manager for South African operations)</w:t>
      </w:r>
      <w:r>
        <w:t>, the South African Depar</w:t>
      </w:r>
      <w:r w:rsidR="006B369D">
        <w:t>tment of Trade and Industry (</w:t>
      </w:r>
      <w:proofErr w:type="spellStart"/>
      <w:r w:rsidR="006B369D">
        <w:t>thedti</w:t>
      </w:r>
      <w:proofErr w:type="spellEnd"/>
      <w:r w:rsidR="006B369D">
        <w:t>) and the Design School</w:t>
      </w:r>
      <w:r>
        <w:t xml:space="preserve"> of the University of Cape Town’s Graduate School of Business</w:t>
      </w:r>
      <w:r w:rsidR="006B369D">
        <w:t xml:space="preserve"> (</w:t>
      </w:r>
      <w:proofErr w:type="spellStart"/>
      <w:r w:rsidR="006B369D">
        <w:t>d.school</w:t>
      </w:r>
      <w:proofErr w:type="spellEnd"/>
      <w:r w:rsidR="006B369D">
        <w:t>)</w:t>
      </w:r>
      <w:r>
        <w:t>.</w:t>
      </w:r>
    </w:p>
    <w:p w14:paraId="7C54FD80" w14:textId="15A218F9" w:rsidR="00C25367" w:rsidRDefault="00C25367" w:rsidP="00C25367">
      <w:pPr>
        <w:pStyle w:val="BodyText"/>
      </w:pPr>
      <w:r>
        <w:t xml:space="preserve"> </w:t>
      </w:r>
    </w:p>
    <w:p w14:paraId="6281B068" w14:textId="77777777" w:rsidR="00F0458B" w:rsidRDefault="00C25367">
      <w:pPr>
        <w:pStyle w:val="BodyText"/>
      </w:pPr>
      <w:r w:rsidRPr="00D11E0D">
        <w:rPr>
          <w:b/>
        </w:rPr>
        <w:t>Matchmaking activities have been designed and piloted over the last 30 months</w:t>
      </w:r>
      <w:r>
        <w:t>, and have thus far proven highly successful. The next step</w:t>
      </w:r>
      <w:r w:rsidR="00F0458B">
        <w:t>s</w:t>
      </w:r>
      <w:r>
        <w:t xml:space="preserve"> of the Cross-Border facility will be to</w:t>
      </w:r>
      <w:r w:rsidR="00F0458B">
        <w:t xml:space="preserve"> </w:t>
      </w:r>
      <w:r>
        <w:t xml:space="preserve">integrate facility services into a national department focussed on trade and investment promotion with </w:t>
      </w:r>
      <w:proofErr w:type="spellStart"/>
      <w:r>
        <w:t>cleantech</w:t>
      </w:r>
      <w:proofErr w:type="spellEnd"/>
      <w:r>
        <w:t xml:space="preserve"> as a key focus area, as well as scale up internationally to Kenya and Ghana. </w:t>
      </w:r>
    </w:p>
    <w:p w14:paraId="14A79D93" w14:textId="77777777" w:rsidR="00F0458B" w:rsidRDefault="00F0458B">
      <w:pPr>
        <w:pStyle w:val="BodyText"/>
      </w:pPr>
    </w:p>
    <w:p w14:paraId="05F6377E" w14:textId="1E5136EF" w:rsidR="00CF2B21" w:rsidRDefault="00C25367">
      <w:pPr>
        <w:pStyle w:val="BodyText"/>
      </w:pPr>
      <w:r>
        <w:t xml:space="preserve">Concrete discussions have already taken place with the Green </w:t>
      </w:r>
      <w:r w:rsidR="00D16EE8">
        <w:t xml:space="preserve">Economy </w:t>
      </w:r>
      <w:r>
        <w:t>Investment T</w:t>
      </w:r>
      <w:r w:rsidR="00CF2B21">
        <w:t xml:space="preserve">eam at </w:t>
      </w:r>
      <w:proofErr w:type="spellStart"/>
      <w:r w:rsidR="00CF2B21" w:rsidRPr="00D11E0D">
        <w:rPr>
          <w:b/>
        </w:rPr>
        <w:t>InvestSA</w:t>
      </w:r>
      <w:proofErr w:type="spellEnd"/>
      <w:r w:rsidRPr="00D11E0D">
        <w:rPr>
          <w:b/>
        </w:rPr>
        <w:t>, a division of the South African Department of Trade and Industry</w:t>
      </w:r>
      <w:r>
        <w:t xml:space="preserve">. Interactions between the two parties have resulted in the recognition of each other’s’ core competencies and the commitment </w:t>
      </w:r>
      <w:r w:rsidRPr="00D11E0D">
        <w:rPr>
          <w:b/>
        </w:rPr>
        <w:t xml:space="preserve">to work </w:t>
      </w:r>
      <w:r w:rsidR="00D11E0D">
        <w:rPr>
          <w:b/>
        </w:rPr>
        <w:t>with GreenCape</w:t>
      </w:r>
      <w:r w:rsidRPr="00D11E0D">
        <w:rPr>
          <w:b/>
        </w:rPr>
        <w:t xml:space="preserve"> in providing a unique and compelling service </w:t>
      </w:r>
      <w:r>
        <w:t xml:space="preserve">to visiting trade delegations and the inbound firms looking to invest in South Africa’s burgeoning green economy. </w:t>
      </w:r>
    </w:p>
    <w:p w14:paraId="25C75FD6" w14:textId="77777777" w:rsidR="00CF2B21" w:rsidRDefault="00CF2B21">
      <w:pPr>
        <w:pStyle w:val="BodyText"/>
      </w:pPr>
    </w:p>
    <w:p w14:paraId="011AD1C6" w14:textId="77777777" w:rsidR="00CF2B21" w:rsidRDefault="00CF2B21">
      <w:pPr>
        <w:pStyle w:val="BodyText"/>
      </w:pPr>
    </w:p>
    <w:p w14:paraId="7CEE50E6" w14:textId="77777777" w:rsidR="00CF2B21" w:rsidRDefault="00CF2B21">
      <w:pPr>
        <w:pStyle w:val="BodyText"/>
      </w:pPr>
    </w:p>
    <w:p w14:paraId="5DA292B0" w14:textId="77777777" w:rsidR="00CF2B21" w:rsidRDefault="00CF2B21">
      <w:pPr>
        <w:pStyle w:val="BodyText"/>
      </w:pPr>
    </w:p>
    <w:p w14:paraId="40E262CC" w14:textId="77777777" w:rsidR="00CF2B21" w:rsidRDefault="00CF2B21">
      <w:pPr>
        <w:pStyle w:val="BodyText"/>
      </w:pPr>
    </w:p>
    <w:p w14:paraId="47F5056C" w14:textId="77777777" w:rsidR="00CF2B21" w:rsidRDefault="00CF2B21">
      <w:pPr>
        <w:pStyle w:val="BodyText"/>
      </w:pPr>
    </w:p>
    <w:p w14:paraId="1839639B" w14:textId="21203F7F" w:rsidR="00C25367" w:rsidRPr="00D11E0D" w:rsidRDefault="00C25367">
      <w:pPr>
        <w:pStyle w:val="BodyText"/>
        <w:rPr>
          <w:b/>
        </w:rPr>
      </w:pPr>
      <w:r>
        <w:lastRenderedPageBreak/>
        <w:t>Globally</w:t>
      </w:r>
      <w:r w:rsidR="002B08D9">
        <w:t>,</w:t>
      </w:r>
      <w:r>
        <w:t xml:space="preserve"> there is increasing competition for attracting FDI and providing export market access for goods and services</w:t>
      </w:r>
      <w:r w:rsidR="002B08D9">
        <w:t xml:space="preserve">, increasingly in </w:t>
      </w:r>
      <w:r>
        <w:t xml:space="preserve">mid-income developing countries. It is therefore vital to have a tailored and targeted approach to investment attraction and market access.  This facility provides such focus, building on the strengths of both parties and contributing to South Africa’s unique </w:t>
      </w:r>
      <w:proofErr w:type="spellStart"/>
      <w:r>
        <w:t>cleantech</w:t>
      </w:r>
      <w:proofErr w:type="spellEnd"/>
      <w:r>
        <w:t xml:space="preserve"> value proposition. </w:t>
      </w:r>
      <w:r w:rsidRPr="00D11E0D">
        <w:rPr>
          <w:b/>
        </w:rPr>
        <w:t xml:space="preserve">Going forward, co-creation will continue to hone a partnership that aligns with both the objectives of </w:t>
      </w:r>
      <w:proofErr w:type="spellStart"/>
      <w:r w:rsidRPr="00D11E0D">
        <w:rPr>
          <w:b/>
        </w:rPr>
        <w:t>InvestSA</w:t>
      </w:r>
      <w:proofErr w:type="spellEnd"/>
      <w:r w:rsidRPr="00D11E0D">
        <w:rPr>
          <w:b/>
        </w:rPr>
        <w:t xml:space="preserve"> and the Cross Border facility. This co-creation is also underway with a team in Kenya, and will soon start with a team in Ghana.</w:t>
      </w:r>
    </w:p>
    <w:p w14:paraId="404F5D63" w14:textId="77777777" w:rsidR="00460F5C" w:rsidRPr="006D1CE6" w:rsidRDefault="00460F5C" w:rsidP="00C50105">
      <w:pPr>
        <w:pStyle w:val="Heading2"/>
        <w:numPr>
          <w:ilvl w:val="0"/>
          <w:numId w:val="0"/>
        </w:numPr>
      </w:pPr>
      <w:r w:rsidRPr="006D1CE6">
        <w:t xml:space="preserve">Job Description </w:t>
      </w:r>
    </w:p>
    <w:p w14:paraId="3BAE2E7F" w14:textId="13A1CA01" w:rsidR="00391EBD" w:rsidRDefault="002B08D9" w:rsidP="00375A2A">
      <w:pPr>
        <w:pStyle w:val="BodyText"/>
      </w:pPr>
      <w:r>
        <w:t xml:space="preserve">The </w:t>
      </w:r>
      <w:r w:rsidR="007179BB">
        <w:t>World Bank</w:t>
      </w:r>
      <w:r w:rsidR="00D11E0D">
        <w:t xml:space="preserve"> is seeking to employ</w:t>
      </w:r>
      <w:r w:rsidR="00C25367">
        <w:t xml:space="preserve"> a motivated individual to join the cross-border team in GreenCape</w:t>
      </w:r>
      <w:r w:rsidR="00D11E0D">
        <w:t xml:space="preserve"> and support national and international scale-up</w:t>
      </w:r>
      <w:r w:rsidR="00C25367">
        <w:t xml:space="preserve">.  </w:t>
      </w:r>
      <w:r w:rsidR="00D11E0D">
        <w:t xml:space="preserve">They are </w:t>
      </w:r>
      <w:r w:rsidR="00375A2A">
        <w:t xml:space="preserve">currently seeking to employ a </w:t>
      </w:r>
      <w:r w:rsidR="00375A2A">
        <w:rPr>
          <w:b/>
          <w:color w:val="00AB67" w:themeColor="text2"/>
        </w:rPr>
        <w:t>Consultant (Senior Analyst) for the Cross Border matchmaking desk</w:t>
      </w:r>
      <w:r w:rsidR="00375A2A">
        <w:t xml:space="preserve"> that will </w:t>
      </w:r>
      <w:r w:rsidR="00375A2A" w:rsidRPr="00D11E0D">
        <w:rPr>
          <w:b/>
        </w:rPr>
        <w:t>conduct the</w:t>
      </w:r>
      <w:r w:rsidR="00D11E0D" w:rsidRPr="00D11E0D">
        <w:rPr>
          <w:b/>
        </w:rPr>
        <w:t xml:space="preserve"> end-to-end implementation and facilitation of B2B matchmaking and support. </w:t>
      </w:r>
      <w:r w:rsidR="00D11E0D">
        <w:t>This will include, but not be limited to the following activities:</w:t>
      </w:r>
      <w:r w:rsidR="00391EBD">
        <w:t xml:space="preserve"> </w:t>
      </w:r>
    </w:p>
    <w:p w14:paraId="6098BA3F" w14:textId="77777777" w:rsidR="00C25367" w:rsidRDefault="00C25367" w:rsidP="00C25367">
      <w:pPr>
        <w:pStyle w:val="BodyText"/>
      </w:pPr>
    </w:p>
    <w:p w14:paraId="39D56D51" w14:textId="429E462D" w:rsidR="00D11E0D" w:rsidRDefault="00D11E0D" w:rsidP="00375A2A">
      <w:pPr>
        <w:pStyle w:val="ListBullet"/>
        <w:ind w:left="340" w:hanging="227"/>
      </w:pPr>
      <w:r w:rsidRPr="001C6435">
        <w:rPr>
          <w:b/>
        </w:rPr>
        <w:t>Respond</w:t>
      </w:r>
      <w:r w:rsidRPr="00D11E0D">
        <w:rPr>
          <w:b/>
        </w:rPr>
        <w:t xml:space="preserve"> and action</w:t>
      </w:r>
      <w:r>
        <w:t xml:space="preserve"> requests by foreign firms and intermediaries, and play a networking role between different partner organizations, both nationally (DTI, etc.) and internationally.</w:t>
      </w:r>
    </w:p>
    <w:p w14:paraId="3EF5C327" w14:textId="77777777" w:rsidR="00375A2A" w:rsidRDefault="00375A2A" w:rsidP="00375A2A">
      <w:pPr>
        <w:pStyle w:val="ListBullet"/>
        <w:ind w:left="340" w:hanging="227"/>
      </w:pPr>
      <w:r w:rsidRPr="001C6435">
        <w:rPr>
          <w:b/>
        </w:rPr>
        <w:t>F</w:t>
      </w:r>
      <w:r w:rsidR="00C25367" w:rsidRPr="001C6435">
        <w:rPr>
          <w:b/>
        </w:rPr>
        <w:t>aci</w:t>
      </w:r>
      <w:r w:rsidRPr="001C6435">
        <w:rPr>
          <w:b/>
        </w:rPr>
        <w:t>litate</w:t>
      </w:r>
      <w:r>
        <w:t xml:space="preserve"> list and deal curation</w:t>
      </w:r>
    </w:p>
    <w:p w14:paraId="45530D36" w14:textId="77777777" w:rsidR="00375A2A" w:rsidRDefault="00375A2A" w:rsidP="00375A2A">
      <w:pPr>
        <w:pStyle w:val="ListBullet"/>
        <w:ind w:left="340" w:hanging="227"/>
      </w:pPr>
      <w:r w:rsidRPr="001C6435">
        <w:rPr>
          <w:b/>
        </w:rPr>
        <w:t>H</w:t>
      </w:r>
      <w:r w:rsidR="00C25367" w:rsidRPr="001C6435">
        <w:rPr>
          <w:b/>
        </w:rPr>
        <w:t>ost</w:t>
      </w:r>
      <w:r w:rsidR="00C25367">
        <w:t xml:space="preserve"> foreign delegations and help or</w:t>
      </w:r>
      <w:r>
        <w:t>ganize events and matchmaking</w:t>
      </w:r>
    </w:p>
    <w:p w14:paraId="21F4BCC5" w14:textId="72681463" w:rsidR="00375A2A" w:rsidRDefault="001C6435" w:rsidP="00375A2A">
      <w:pPr>
        <w:pStyle w:val="ListBullet"/>
        <w:ind w:left="340" w:hanging="227"/>
      </w:pPr>
      <w:r w:rsidRPr="001C6435">
        <w:rPr>
          <w:b/>
        </w:rPr>
        <w:t>Establish</w:t>
      </w:r>
      <w:r w:rsidR="002B08D9">
        <w:t xml:space="preserve"> systems and databases, to aid management, monitoring and operations going forward.</w:t>
      </w:r>
      <w:r w:rsidR="00C25367">
        <w:t xml:space="preserve"> </w:t>
      </w:r>
    </w:p>
    <w:p w14:paraId="589A1817" w14:textId="29AC952F" w:rsidR="00C25367" w:rsidRDefault="001C6435" w:rsidP="00965B3D">
      <w:pPr>
        <w:pStyle w:val="ListBullet"/>
        <w:ind w:left="340" w:hanging="227"/>
      </w:pPr>
      <w:r w:rsidRPr="001C6435">
        <w:rPr>
          <w:b/>
        </w:rPr>
        <w:t>Contribute</w:t>
      </w:r>
      <w:r w:rsidR="00C25367">
        <w:t xml:space="preserve"> to knowledge capture and dissemination with the World Bank, Kenya and Ghana teams in order to support </w:t>
      </w:r>
      <w:r w:rsidR="00375A2A">
        <w:t>and</w:t>
      </w:r>
      <w:r w:rsidR="00C25367">
        <w:t xml:space="preserve"> accelerate the traction of new activities, partnerships and linkages based on and to complement the South African experience.</w:t>
      </w:r>
    </w:p>
    <w:p w14:paraId="6B572C96" w14:textId="77777777" w:rsidR="004E65B7" w:rsidRDefault="004E65B7" w:rsidP="004E65B7">
      <w:pPr>
        <w:pStyle w:val="ListBullet"/>
        <w:numPr>
          <w:ilvl w:val="0"/>
          <w:numId w:val="0"/>
        </w:numPr>
        <w:ind w:left="473" w:hanging="360"/>
      </w:pPr>
    </w:p>
    <w:p w14:paraId="0A566FF4" w14:textId="3111A80D" w:rsidR="004E65B7" w:rsidRDefault="004E65B7" w:rsidP="00EF689E">
      <w:pPr>
        <w:pStyle w:val="BodyText"/>
      </w:pPr>
      <w:r>
        <w:t>The successful candidate will report directly to GreenCape on a dotted line basis to the World Bank.</w:t>
      </w:r>
    </w:p>
    <w:p w14:paraId="1C904B37" w14:textId="77777777" w:rsidR="00460F5C" w:rsidRPr="006D1CE6" w:rsidRDefault="00F4553C" w:rsidP="00C50105">
      <w:pPr>
        <w:pStyle w:val="Heading2"/>
        <w:numPr>
          <w:ilvl w:val="0"/>
          <w:numId w:val="0"/>
        </w:numPr>
      </w:pPr>
      <w:r w:rsidRPr="006D1CE6">
        <w:t>Required Skills and Experience</w:t>
      </w:r>
    </w:p>
    <w:p w14:paraId="39169135" w14:textId="334B5978" w:rsidR="00DF1854" w:rsidRPr="0050608A" w:rsidRDefault="00DF1854" w:rsidP="00C25367">
      <w:pPr>
        <w:pStyle w:val="BodyText"/>
      </w:pPr>
      <w:r w:rsidRPr="0050608A">
        <w:t>Minimum requirements:</w:t>
      </w:r>
    </w:p>
    <w:p w14:paraId="19CD7724" w14:textId="77777777" w:rsidR="00DF1854" w:rsidRDefault="00DF1854" w:rsidP="00C25367">
      <w:pPr>
        <w:pStyle w:val="BodyText"/>
      </w:pPr>
    </w:p>
    <w:p w14:paraId="7A605B45" w14:textId="5D9A52F0" w:rsidR="00DF1854" w:rsidRDefault="00DF1854" w:rsidP="00DF1854">
      <w:pPr>
        <w:pStyle w:val="ListBullet"/>
      </w:pPr>
      <w:r>
        <w:t xml:space="preserve">The candidate should have strong interpersonal and client engagement skills. </w:t>
      </w:r>
      <w:r w:rsidRPr="007D4710">
        <w:rPr>
          <w:b/>
        </w:rPr>
        <w:t>This is an inherently people-centric role including interaction with a large number of stakeholders - personable individuals are strongly encouraged to apply.</w:t>
      </w:r>
    </w:p>
    <w:p w14:paraId="7E649460" w14:textId="77777777" w:rsidR="00DF1854" w:rsidRDefault="00DF1854" w:rsidP="00DF1854">
      <w:pPr>
        <w:pStyle w:val="ListBullet"/>
      </w:pPr>
      <w:r>
        <w:t>Self-motivated and proactive</w:t>
      </w:r>
    </w:p>
    <w:p w14:paraId="739D1B50" w14:textId="77777777" w:rsidR="00DF1854" w:rsidRDefault="00DF1854" w:rsidP="00DF1854">
      <w:pPr>
        <w:pStyle w:val="ListBullet"/>
      </w:pPr>
      <w:r>
        <w:t>Excellent communication skills, both written and verbal</w:t>
      </w:r>
    </w:p>
    <w:p w14:paraId="5E4882AE" w14:textId="77777777" w:rsidR="00DF1854" w:rsidRDefault="00DF1854" w:rsidP="00DF1854">
      <w:pPr>
        <w:pStyle w:val="ListBullet"/>
      </w:pPr>
      <w:r>
        <w:t>Excellent work ethic, organisational skills and time management</w:t>
      </w:r>
    </w:p>
    <w:p w14:paraId="3B5205F7" w14:textId="77777777" w:rsidR="007D4710" w:rsidRDefault="007D4710" w:rsidP="00DF1854">
      <w:pPr>
        <w:pStyle w:val="ListBullet"/>
      </w:pPr>
      <w:r>
        <w:t>Qualified with a minimum four-year equivalent degree. While stellar academic results are preferred, this can be compensated by relevant work experience and cultural fit.</w:t>
      </w:r>
    </w:p>
    <w:p w14:paraId="58DC2F0C" w14:textId="77777777" w:rsidR="007D4710" w:rsidRDefault="00DF1854" w:rsidP="00DF1854">
      <w:pPr>
        <w:pStyle w:val="ListBullet"/>
      </w:pPr>
      <w:r>
        <w:t>South African resident or in possession of valid work permit</w:t>
      </w:r>
    </w:p>
    <w:p w14:paraId="686B7B42" w14:textId="6C511E41" w:rsidR="00DF1854" w:rsidRDefault="007D4710" w:rsidP="007D4710">
      <w:pPr>
        <w:pStyle w:val="ListBullet"/>
      </w:pPr>
      <w:r>
        <w:t>Valid Code B (or equivalent) driver’s licence is desirable</w:t>
      </w:r>
      <w:r w:rsidR="00DF1854" w:rsidRPr="00DF1854">
        <w:t xml:space="preserve"> </w:t>
      </w:r>
    </w:p>
    <w:p w14:paraId="31CD7D44" w14:textId="77777777" w:rsidR="00DF1854" w:rsidRDefault="00DF1854" w:rsidP="00C25367">
      <w:pPr>
        <w:pStyle w:val="BodyText"/>
      </w:pPr>
    </w:p>
    <w:p w14:paraId="4A6384FB" w14:textId="77777777" w:rsidR="0050608A" w:rsidRDefault="0050608A" w:rsidP="007D4710">
      <w:pPr>
        <w:pStyle w:val="BodyText"/>
      </w:pPr>
      <w:r>
        <w:t>In addition:</w:t>
      </w:r>
    </w:p>
    <w:p w14:paraId="55396725" w14:textId="77777777" w:rsidR="0050608A" w:rsidRDefault="0050608A" w:rsidP="007D4710">
      <w:pPr>
        <w:pStyle w:val="BodyText"/>
      </w:pPr>
    </w:p>
    <w:p w14:paraId="0604CA23" w14:textId="5CE3F667" w:rsidR="007D4710" w:rsidRDefault="007D4710" w:rsidP="0050608A">
      <w:pPr>
        <w:pStyle w:val="ListBullet"/>
      </w:pPr>
      <w:r>
        <w:t xml:space="preserve">B2B matchmaking, investment promotion (such as </w:t>
      </w:r>
      <w:proofErr w:type="spellStart"/>
      <w:r>
        <w:t>thedti</w:t>
      </w:r>
      <w:proofErr w:type="spellEnd"/>
      <w:r>
        <w:t xml:space="preserve"> and Wesgro), top-tier management consulting or any equivalent knowledge or experience in</w:t>
      </w:r>
      <w:r w:rsidRPr="007D4710">
        <w:t xml:space="preserve"> </w:t>
      </w:r>
      <w:r>
        <w:t xml:space="preserve">using networks for collaboration in both operations and knowledge management is </w:t>
      </w:r>
      <w:r w:rsidR="001C6435">
        <w:t xml:space="preserve">considered </w:t>
      </w:r>
      <w:r w:rsidRPr="001C6435">
        <w:rPr>
          <w:b/>
        </w:rPr>
        <w:t>a significant bonus</w:t>
      </w:r>
      <w:r>
        <w:t>.</w:t>
      </w:r>
    </w:p>
    <w:p w14:paraId="2E1E4642" w14:textId="3070AE74" w:rsidR="00DF1854" w:rsidRDefault="007D4710" w:rsidP="0050608A">
      <w:pPr>
        <w:pStyle w:val="ListBullet"/>
      </w:pPr>
      <w:r>
        <w:t xml:space="preserve">Familiarity with </w:t>
      </w:r>
      <w:proofErr w:type="spellStart"/>
      <w:r>
        <w:t>cleantech</w:t>
      </w:r>
      <w:proofErr w:type="spellEnd"/>
      <w:r>
        <w:t xml:space="preserve">, the South African SME space, and exposure to Kenya and Ghana </w:t>
      </w:r>
      <w:r w:rsidR="0050608A" w:rsidRPr="001C6435">
        <w:rPr>
          <w:b/>
        </w:rPr>
        <w:t>should be highlighted</w:t>
      </w:r>
      <w:r w:rsidR="001C6435">
        <w:rPr>
          <w:b/>
        </w:rPr>
        <w:t xml:space="preserve"> in your application</w:t>
      </w:r>
      <w:r>
        <w:t>.</w:t>
      </w:r>
    </w:p>
    <w:p w14:paraId="1E8A92A2" w14:textId="77777777" w:rsidR="00864907" w:rsidRDefault="00864907" w:rsidP="00864907">
      <w:pPr>
        <w:pStyle w:val="ListBullet"/>
        <w:numPr>
          <w:ilvl w:val="0"/>
          <w:numId w:val="0"/>
        </w:numPr>
        <w:ind w:left="473" w:hanging="360"/>
      </w:pPr>
    </w:p>
    <w:p w14:paraId="4070ED68" w14:textId="77777777" w:rsidR="00864907" w:rsidRDefault="00864907" w:rsidP="00864907">
      <w:pPr>
        <w:pStyle w:val="ListBullet"/>
        <w:numPr>
          <w:ilvl w:val="0"/>
          <w:numId w:val="0"/>
        </w:numPr>
        <w:ind w:left="473" w:hanging="360"/>
      </w:pPr>
    </w:p>
    <w:p w14:paraId="47508CE4" w14:textId="77777777" w:rsidR="00864907" w:rsidRPr="00F4553C" w:rsidRDefault="00864907" w:rsidP="00864907">
      <w:pPr>
        <w:pStyle w:val="ListBullet"/>
        <w:numPr>
          <w:ilvl w:val="0"/>
          <w:numId w:val="0"/>
        </w:numPr>
        <w:ind w:left="473" w:hanging="360"/>
      </w:pPr>
    </w:p>
    <w:p w14:paraId="58F0649E" w14:textId="77777777" w:rsidR="00460F5C" w:rsidRPr="006D1CE6" w:rsidRDefault="00460F5C" w:rsidP="00C50105">
      <w:pPr>
        <w:pStyle w:val="Heading2"/>
        <w:numPr>
          <w:ilvl w:val="0"/>
          <w:numId w:val="0"/>
        </w:numPr>
      </w:pPr>
      <w:r w:rsidRPr="006D1CE6">
        <w:lastRenderedPageBreak/>
        <w:t>Co</w:t>
      </w:r>
      <w:r w:rsidR="006571A9" w:rsidRPr="006D1CE6">
        <w:t>ntract length and remuneration</w:t>
      </w:r>
    </w:p>
    <w:p w14:paraId="7B10236D" w14:textId="75BE555E" w:rsidR="001C6435" w:rsidRDefault="00C25367" w:rsidP="00C25367">
      <w:pPr>
        <w:pStyle w:val="BodyText"/>
      </w:pPr>
      <w:r>
        <w:t xml:space="preserve">Preliminary tasks will require around 30 </w:t>
      </w:r>
      <w:r w:rsidR="001C6435">
        <w:t>work days,</w:t>
      </w:r>
      <w:r>
        <w:t xml:space="preserve"> as a trial period. These days may be increased, commensurate on performance, up to 150 days per fiscal year (July 1 to June 30th) and on discuss</w:t>
      </w:r>
      <w:r w:rsidR="00864907">
        <w:t>ion with the World Bank’s Task Team L</w:t>
      </w:r>
      <w:r>
        <w:t>eader</w:t>
      </w:r>
      <w:r w:rsidR="00864907">
        <w:t xml:space="preserve"> (TTL)</w:t>
      </w:r>
      <w:r>
        <w:t>.</w:t>
      </w:r>
    </w:p>
    <w:p w14:paraId="04C69BC9" w14:textId="352C0CF3" w:rsidR="00C25367" w:rsidRDefault="00C25367" w:rsidP="00C25367">
      <w:pPr>
        <w:pStyle w:val="BodyText"/>
      </w:pPr>
      <w:r>
        <w:t xml:space="preserve"> </w:t>
      </w:r>
    </w:p>
    <w:p w14:paraId="52532A43" w14:textId="5ADC196A" w:rsidR="00C25367" w:rsidRDefault="00C25367" w:rsidP="00C25367">
      <w:pPr>
        <w:pStyle w:val="BodyText"/>
      </w:pPr>
      <w:r>
        <w:t>Fee</w:t>
      </w:r>
      <w:r w:rsidR="00864907">
        <w:t>s</w:t>
      </w:r>
      <w:r>
        <w:t xml:space="preserve"> will be determined per the World Bank’s local salary scale and is commensurate with experience.</w:t>
      </w:r>
    </w:p>
    <w:p w14:paraId="0062C216" w14:textId="21257619" w:rsidR="00CC5ED0" w:rsidRDefault="00C25367" w:rsidP="00C50105">
      <w:pPr>
        <w:pStyle w:val="BodyText"/>
      </w:pPr>
      <w:r>
        <w:t xml:space="preserve">The consultant will inform, report to and work closely with the World Bank TTL, GreenCape and </w:t>
      </w:r>
      <w:proofErr w:type="spellStart"/>
      <w:r>
        <w:t>InvestSA</w:t>
      </w:r>
      <w:proofErr w:type="spellEnd"/>
      <w:r>
        <w:t xml:space="preserve"> management teams.</w:t>
      </w:r>
    </w:p>
    <w:p w14:paraId="67BC695B" w14:textId="77777777" w:rsidR="00460F5C" w:rsidRPr="006D1CE6" w:rsidRDefault="006571A9" w:rsidP="00C50105">
      <w:pPr>
        <w:pStyle w:val="Heading2"/>
        <w:numPr>
          <w:ilvl w:val="0"/>
          <w:numId w:val="0"/>
        </w:numPr>
      </w:pPr>
      <w:r w:rsidRPr="006D1CE6">
        <w:t>Application details</w:t>
      </w:r>
    </w:p>
    <w:p w14:paraId="49E2A3FC" w14:textId="5BBAA65F" w:rsidR="00460F5C" w:rsidRPr="003619FA" w:rsidRDefault="00460F5C" w:rsidP="006D1CE6">
      <w:pPr>
        <w:pStyle w:val="BodyText"/>
      </w:pPr>
      <w:r w:rsidRPr="003619FA">
        <w:t xml:space="preserve">Applications and queries can be submitted via email to </w:t>
      </w:r>
      <w:r w:rsidRPr="003619FA">
        <w:rPr>
          <w:color w:val="00AB67" w:themeColor="text2"/>
          <w:u w:val="single"/>
        </w:rPr>
        <w:t>jobs@greencape.co.za.</w:t>
      </w:r>
      <w:r w:rsidRPr="003619FA">
        <w:t xml:space="preserve"> </w:t>
      </w:r>
      <w:r w:rsidR="00BE56A1">
        <w:t xml:space="preserve">The deadline for applications will be </w:t>
      </w:r>
      <w:r w:rsidR="00AF091A">
        <w:t>9</w:t>
      </w:r>
      <w:r w:rsidR="00AF091A" w:rsidRPr="00AF091A">
        <w:rPr>
          <w:vertAlign w:val="superscript"/>
        </w:rPr>
        <w:t>th</w:t>
      </w:r>
      <w:r w:rsidR="00BE56A1">
        <w:t xml:space="preserve"> February 2018.</w:t>
      </w:r>
    </w:p>
    <w:p w14:paraId="2A82CB8D" w14:textId="77777777" w:rsidR="007750EC" w:rsidRDefault="007750EC" w:rsidP="006D1CE6">
      <w:pPr>
        <w:pStyle w:val="BodyText"/>
      </w:pPr>
    </w:p>
    <w:p w14:paraId="74CD4C56" w14:textId="47FE547A" w:rsidR="006571A9" w:rsidRPr="003619FA" w:rsidRDefault="008A3E3D" w:rsidP="006D1CE6">
      <w:pPr>
        <w:pStyle w:val="BodyText"/>
      </w:pPr>
      <w:r>
        <w:t xml:space="preserve">Interviews will be held </w:t>
      </w:r>
      <w:r w:rsidR="00BF5731">
        <w:t>on a rolling basis throughout February</w:t>
      </w:r>
      <w:r w:rsidR="00316AAF">
        <w:t>,</w:t>
      </w:r>
      <w:r w:rsidR="00BF5731">
        <w:t xml:space="preserve"> with</w:t>
      </w:r>
      <w:r w:rsidR="00316AAF">
        <w:t xml:space="preserve"> t</w:t>
      </w:r>
      <w:r w:rsidR="006571A9" w:rsidRPr="006571A9">
        <w:t xml:space="preserve">he successful candidate </w:t>
      </w:r>
      <w:r w:rsidR="00BF5731">
        <w:t xml:space="preserve">starting </w:t>
      </w:r>
      <w:r w:rsidR="006571A9" w:rsidRPr="006571A9">
        <w:t>as soon as possible thereafter</w:t>
      </w:r>
      <w:r w:rsidR="00A235BD">
        <w:t xml:space="preserve"> (likely to be</w:t>
      </w:r>
      <w:r w:rsidR="00BF5731">
        <w:t xml:space="preserve"> before</w:t>
      </w:r>
      <w:r w:rsidR="00A235BD">
        <w:t xml:space="preserve"> on</w:t>
      </w:r>
      <w:r w:rsidR="00BF5731">
        <w:t xml:space="preserve"> the 1</w:t>
      </w:r>
      <w:r w:rsidR="00BF5731" w:rsidRPr="00BF5731">
        <w:rPr>
          <w:vertAlign w:val="superscript"/>
        </w:rPr>
        <w:t>st</w:t>
      </w:r>
      <w:r w:rsidR="00BF5731">
        <w:t xml:space="preserve"> April</w:t>
      </w:r>
      <w:r w:rsidR="00A235BD">
        <w:t xml:space="preserve"> 2018</w:t>
      </w:r>
      <w:r w:rsidR="00BF5731">
        <w:t>)</w:t>
      </w:r>
      <w:r w:rsidR="006571A9">
        <w:t>.</w:t>
      </w:r>
    </w:p>
    <w:p w14:paraId="4747D9FE" w14:textId="77777777" w:rsidR="007750EC" w:rsidRDefault="007750EC" w:rsidP="00C50105">
      <w:pPr>
        <w:pStyle w:val="BodyText"/>
      </w:pPr>
    </w:p>
    <w:p w14:paraId="02F67F26" w14:textId="77777777" w:rsidR="00460F5C" w:rsidRPr="00F4553C" w:rsidRDefault="00460F5C" w:rsidP="00C50105">
      <w:pPr>
        <w:pStyle w:val="BodyText"/>
      </w:pPr>
      <w:r w:rsidRPr="00F4553C">
        <w:t>Applications should include:</w:t>
      </w:r>
    </w:p>
    <w:p w14:paraId="45788AAE" w14:textId="77777777" w:rsidR="00460F5C" w:rsidRPr="00F4553C" w:rsidRDefault="00460F5C" w:rsidP="007750EC">
      <w:pPr>
        <w:pStyle w:val="ListBullet"/>
      </w:pPr>
      <w:r w:rsidRPr="00F4553C">
        <w:t>A detailed CV</w:t>
      </w:r>
    </w:p>
    <w:p w14:paraId="3C6CFFB1" w14:textId="77777777" w:rsidR="00460F5C" w:rsidRPr="00F4553C" w:rsidRDefault="00460F5C" w:rsidP="007750EC">
      <w:pPr>
        <w:pStyle w:val="ListBullet"/>
      </w:pPr>
      <w:r w:rsidRPr="00F4553C">
        <w:t>Copies of academic transcripts</w:t>
      </w:r>
    </w:p>
    <w:p w14:paraId="3C9A08E9" w14:textId="1C690CED" w:rsidR="00460F5C" w:rsidRPr="00F4553C" w:rsidRDefault="00460F5C">
      <w:pPr>
        <w:pStyle w:val="ListBullet"/>
      </w:pPr>
      <w:r w:rsidRPr="00F4553C">
        <w:t>A letter of motivation indicating what motiva</w:t>
      </w:r>
      <w:r w:rsidR="00BE56A1">
        <w:t>ted you to apply for the role</w:t>
      </w:r>
      <w:r w:rsidRPr="00F4553C">
        <w:t>:</w:t>
      </w:r>
    </w:p>
    <w:p w14:paraId="7C54A3CA" w14:textId="7837E985" w:rsidR="00460F5C" w:rsidRPr="00F4553C" w:rsidRDefault="004E65B7">
      <w:pPr>
        <w:pStyle w:val="ListBullet2"/>
      </w:pPr>
      <w:r>
        <w:t>What the candidate feels they</w:t>
      </w:r>
      <w:r w:rsidR="00460F5C" w:rsidRPr="00F4553C">
        <w:t xml:space="preserve"> bring to the role that would make </w:t>
      </w:r>
      <w:r>
        <w:t>them</w:t>
      </w:r>
      <w:r w:rsidR="00460F5C" w:rsidRPr="00F4553C">
        <w:t xml:space="preserve"> a preferred candidate;</w:t>
      </w:r>
    </w:p>
    <w:p w14:paraId="561C71B8" w14:textId="77777777" w:rsidR="00460F5C" w:rsidRPr="00F4553C" w:rsidRDefault="00460F5C">
      <w:pPr>
        <w:pStyle w:val="ListBullet2"/>
      </w:pPr>
      <w:r w:rsidRPr="00F4553C">
        <w:t>An indication of salary expectations;</w:t>
      </w:r>
    </w:p>
    <w:p w14:paraId="1C438B12" w14:textId="10E78162" w:rsidR="00460F5C" w:rsidRDefault="00460F5C">
      <w:pPr>
        <w:pStyle w:val="ListBullet2"/>
      </w:pPr>
      <w:r w:rsidRPr="00F4553C">
        <w:t>An indication of when the candidate would be available to commence work</w:t>
      </w:r>
      <w:r w:rsidR="004E65B7">
        <w:t>, and days per week available, assuming part-time availability</w:t>
      </w:r>
      <w:r w:rsidRPr="00F4553C">
        <w:t>.</w:t>
      </w:r>
    </w:p>
    <w:p w14:paraId="54E740BB" w14:textId="0521AEED" w:rsidR="00F6689A" w:rsidRPr="00F4553C" w:rsidRDefault="00F6689A">
      <w:pPr>
        <w:pStyle w:val="ListBullet"/>
      </w:pPr>
      <w:r>
        <w:t>P</w:t>
      </w:r>
      <w:r w:rsidRPr="006571A9">
        <w:t>roof of eligibility to work in South Africa (</w:t>
      </w:r>
      <w:r>
        <w:t>copy</w:t>
      </w:r>
      <w:r w:rsidR="00BE56A1">
        <w:t xml:space="preserve"> of</w:t>
      </w:r>
      <w:r>
        <w:t xml:space="preserve"> </w:t>
      </w:r>
      <w:r w:rsidRPr="006571A9">
        <w:t>SA ID or work permit)</w:t>
      </w:r>
    </w:p>
    <w:p w14:paraId="663AE23E" w14:textId="77777777" w:rsidR="00460F5C" w:rsidRPr="003619FA" w:rsidRDefault="00460F5C">
      <w:pPr>
        <w:jc w:val="both"/>
        <w:rPr>
          <w:rFonts w:ascii="Arial" w:hAnsi="Arial" w:cs="Arial"/>
          <w:sz w:val="22"/>
          <w:szCs w:val="22"/>
        </w:rPr>
      </w:pPr>
    </w:p>
    <w:p w14:paraId="40E403D5" w14:textId="27B7E63F" w:rsidR="00C25367" w:rsidRDefault="00460F5C">
      <w:pPr>
        <w:pStyle w:val="BodyText"/>
      </w:pPr>
      <w:r w:rsidRPr="003619FA">
        <w:t>Only candidates who are shortlisted for interviews will be contacted. Candidates who h</w:t>
      </w:r>
      <w:r w:rsidR="00BF5731">
        <w:t>ave not heard from GreenCape by the end of February 2018</w:t>
      </w:r>
      <w:r w:rsidR="00F6689A">
        <w:t xml:space="preserve"> </w:t>
      </w:r>
      <w:r w:rsidRPr="003619FA">
        <w:t xml:space="preserve">should </w:t>
      </w:r>
      <w:r w:rsidR="00DB538F">
        <w:t xml:space="preserve">respectfully </w:t>
      </w:r>
      <w:r w:rsidRPr="003619FA">
        <w:t xml:space="preserve">consider their application unsuccessful. </w:t>
      </w:r>
      <w:bookmarkStart w:id="0" w:name="_GoBack"/>
      <w:bookmarkEnd w:id="0"/>
    </w:p>
    <w:p w14:paraId="474E606B" w14:textId="77777777" w:rsidR="00C25367" w:rsidRDefault="00C25367" w:rsidP="00C25367">
      <w:pPr>
        <w:pStyle w:val="BodyText"/>
      </w:pPr>
    </w:p>
    <w:sectPr w:rsidR="00C25367" w:rsidSect="00C50105">
      <w:headerReference w:type="default" r:id="rId8"/>
      <w:footerReference w:type="default" r:id="rId9"/>
      <w:headerReference w:type="first" r:id="rId10"/>
      <w:footerReference w:type="first" r:id="rId11"/>
      <w:pgSz w:w="11906" w:h="16838" w:code="9"/>
      <w:pgMar w:top="1530" w:right="1247" w:bottom="1418"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9D3C" w14:textId="77777777" w:rsidR="00171329" w:rsidRDefault="00171329" w:rsidP="00DF215D">
      <w:r>
        <w:separator/>
      </w:r>
    </w:p>
  </w:endnote>
  <w:endnote w:type="continuationSeparator" w:id="0">
    <w:p w14:paraId="4A773530" w14:textId="77777777" w:rsidR="00171329" w:rsidRDefault="00171329"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15F3" w14:textId="77777777" w:rsidR="005E2597" w:rsidRPr="000875E3" w:rsidRDefault="005E2597" w:rsidP="00B77DE8">
    <w:pPr>
      <w:pStyle w:val="Footer"/>
      <w:tabs>
        <w:tab w:val="left" w:pos="3140"/>
      </w:tabs>
      <w:ind w:left="-709"/>
      <w:jc w:val="right"/>
      <w:rPr>
        <w:rFonts w:asciiTheme="majorHAnsi" w:hAnsiTheme="majorHAnsi"/>
        <w:color w:val="119450"/>
        <w:sz w:val="20"/>
      </w:rPr>
    </w:pPr>
  </w:p>
  <w:p w14:paraId="70F11092" w14:textId="77777777" w:rsidR="005E2597" w:rsidRDefault="005E2597" w:rsidP="00B77DE8">
    <w:pPr>
      <w:pStyle w:val="Footnote"/>
      <w:rPr>
        <w:b/>
        <w:color w:val="00AB67" w:themeColor="accent1"/>
        <w:szCs w:val="18"/>
      </w:rPr>
    </w:pPr>
  </w:p>
  <w:p w14:paraId="6B15B6A2" w14:textId="77777777" w:rsidR="005E2597" w:rsidRDefault="005E2597" w:rsidP="00B77DE8">
    <w:pPr>
      <w:pStyle w:val="Footer"/>
      <w:tabs>
        <w:tab w:val="left" w:pos="3140"/>
      </w:tabs>
      <w:ind w:right="-1056"/>
    </w:pPr>
  </w:p>
  <w:p w14:paraId="3B0C5FF6" w14:textId="77777777" w:rsidR="005E2597" w:rsidRPr="00582ADA" w:rsidRDefault="005E2597" w:rsidP="002F57DB">
    <w:pPr>
      <w:pStyle w:val="Footer"/>
      <w:rPr>
        <w:rFonts w:asciiTheme="minorHAnsi" w:eastAsiaTheme="minorEastAsia" w:hAnsiTheme="minorHAnsi"/>
        <w:color w:val="auto"/>
        <w:sz w:val="2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8C3E" w14:textId="77777777" w:rsidR="005E2597" w:rsidRDefault="005E2597" w:rsidP="00C41484">
    <w:pPr>
      <w:pStyle w:val="Footnote"/>
      <w:rPr>
        <w:b/>
        <w:color w:val="00AB67" w:themeColor="accent1"/>
        <w:szCs w:val="18"/>
      </w:rPr>
    </w:pPr>
  </w:p>
  <w:p w14:paraId="2B06DCB3" w14:textId="77777777" w:rsidR="005E2597" w:rsidRDefault="005E2597" w:rsidP="00C41484">
    <w:pPr>
      <w:pStyle w:val="Footnote"/>
      <w:rPr>
        <w:b/>
        <w:color w:val="00AB67" w:themeColor="accent1"/>
        <w:szCs w:val="18"/>
      </w:rPr>
    </w:pPr>
  </w:p>
  <w:p w14:paraId="414D7F04" w14:textId="77777777" w:rsidR="005E2597" w:rsidRPr="009F5940" w:rsidRDefault="005E2597" w:rsidP="00C41484">
    <w:pPr>
      <w:pStyle w:val="Footnote"/>
      <w:rPr>
        <w:b/>
        <w:color w:val="00AB67" w:themeColor="accent1"/>
        <w:szCs w:val="18"/>
      </w:rPr>
    </w:pPr>
    <w:r w:rsidRPr="009F5940">
      <w:rPr>
        <w:b/>
        <w:color w:val="00AB67" w:themeColor="accent1"/>
        <w:szCs w:val="18"/>
      </w:rPr>
      <w:t xml:space="preserve">GreenCape Sector Development Agency </w:t>
    </w:r>
  </w:p>
  <w:p w14:paraId="550E9AF0" w14:textId="77777777" w:rsidR="005E2597" w:rsidRPr="009F5940" w:rsidRDefault="005E2597" w:rsidP="00C41484">
    <w:pPr>
      <w:pStyle w:val="Footnote"/>
      <w:rPr>
        <w:color w:val="00AB67" w:themeColor="accent1"/>
        <w:szCs w:val="18"/>
      </w:rPr>
    </w:pPr>
    <w:r>
      <w:rPr>
        <w:color w:val="00AB67" w:themeColor="accent1"/>
        <w:szCs w:val="18"/>
      </w:rPr>
      <w:t>18 Roeland St</w:t>
    </w:r>
    <w:r w:rsidRPr="009F5940">
      <w:rPr>
        <w:color w:val="00AB67" w:themeColor="accent1"/>
        <w:szCs w:val="18"/>
      </w:rPr>
      <w:t>, Cape Town, 8001, South Africa</w:t>
    </w:r>
  </w:p>
  <w:p w14:paraId="2C5AC4E7" w14:textId="77777777" w:rsidR="005E2597" w:rsidRPr="009F5940" w:rsidRDefault="005E2597" w:rsidP="00C41484">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sidRPr="009F5940">
        <w:rPr>
          <w:rStyle w:val="Hyperlink"/>
          <w:rFonts w:asciiTheme="majorHAnsi" w:hAnsiTheme="majorHAnsi"/>
          <w:color w:val="00AB67" w:themeColor="accent1"/>
          <w:szCs w:val="18"/>
          <w:u w:val="none"/>
        </w:rPr>
        <w:t>info@green-cape.co.za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314091FC" w14:textId="77777777" w:rsidR="005E2597" w:rsidRDefault="005E2597" w:rsidP="00C41484">
    <w:pPr>
      <w:pStyle w:val="Footnote"/>
      <w:rPr>
        <w:color w:val="00AB67" w:themeColor="accent1"/>
        <w:szCs w:val="18"/>
      </w:rPr>
    </w:pPr>
    <w:r w:rsidRPr="009F5940">
      <w:rPr>
        <w:color w:val="00AB67" w:themeColor="accent1"/>
        <w:szCs w:val="18"/>
      </w:rPr>
      <w:t>Company Registration No. 2012/039750/08</w:t>
    </w:r>
  </w:p>
  <w:p w14:paraId="152D2FA4" w14:textId="77777777" w:rsidR="005E2597" w:rsidRPr="009F5940" w:rsidRDefault="005E2597" w:rsidP="00C41484">
    <w:pPr>
      <w:pStyle w:val="Footnote"/>
      <w:rPr>
        <w:color w:val="00AB67" w:themeColor="accent1"/>
        <w:szCs w:val="18"/>
      </w:rPr>
    </w:pPr>
    <w:r w:rsidRPr="009F5940">
      <w:rPr>
        <w:color w:val="00AB67" w:themeColor="accent1"/>
        <w:szCs w:val="18"/>
      </w:rPr>
      <w:t>Refer to the GreenCa</w:t>
    </w:r>
    <w:r>
      <w:rPr>
        <w:color w:val="00AB67" w:themeColor="accent1"/>
        <w:szCs w:val="18"/>
      </w:rPr>
      <w:t>pe website for director details</w:t>
    </w:r>
  </w:p>
  <w:p w14:paraId="018957CF" w14:textId="77777777" w:rsidR="005E2597" w:rsidRDefault="005E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1074" w14:textId="77777777" w:rsidR="00171329" w:rsidRDefault="00171329" w:rsidP="00DF215D">
      <w:r>
        <w:separator/>
      </w:r>
    </w:p>
  </w:footnote>
  <w:footnote w:type="continuationSeparator" w:id="0">
    <w:p w14:paraId="5F5EA3B6" w14:textId="77777777" w:rsidR="00171329" w:rsidRDefault="00171329" w:rsidP="00DF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A479" w14:textId="77777777" w:rsidR="005E2597" w:rsidRDefault="005E2597" w:rsidP="00B77DE8">
    <w:pPr>
      <w:pStyle w:val="Header"/>
      <w:tabs>
        <w:tab w:val="clear" w:pos="4320"/>
        <w:tab w:val="clear" w:pos="8640"/>
        <w:tab w:val="left" w:pos="7180"/>
      </w:tabs>
      <w:ind w:right="-524"/>
      <w:jc w:val="right"/>
    </w:pPr>
  </w:p>
  <w:p w14:paraId="55047472" w14:textId="77777777" w:rsidR="005E2597" w:rsidRDefault="005E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FA2C" w14:textId="77777777" w:rsidR="005E2597" w:rsidRPr="00C41484" w:rsidRDefault="005E2597" w:rsidP="00C41484">
    <w:pPr>
      <w:pStyle w:val="Header"/>
    </w:pPr>
    <w:r>
      <w:rPr>
        <w:noProof/>
        <w:lang w:val="en-US"/>
      </w:rPr>
      <w:drawing>
        <wp:anchor distT="0" distB="0" distL="114300" distR="114300" simplePos="0" relativeHeight="251659264" behindDoc="0" locked="0" layoutInCell="1" allowOverlap="1" wp14:anchorId="2ACF934B" wp14:editId="7852753E">
          <wp:simplePos x="0" y="0"/>
          <wp:positionH relativeFrom="margin">
            <wp:posOffset>-755650</wp:posOffset>
          </wp:positionH>
          <wp:positionV relativeFrom="margin">
            <wp:posOffset>-718820</wp:posOffset>
          </wp:positionV>
          <wp:extent cx="2050415" cy="59626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1">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47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C0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9F4030E"/>
    <w:lvl w:ilvl="0">
      <w:start w:val="1"/>
      <w:numFmt w:val="decimal"/>
      <w:lvlText w:val="%1."/>
      <w:lvlJc w:val="left"/>
      <w:pPr>
        <w:tabs>
          <w:tab w:val="num" w:pos="360"/>
        </w:tabs>
        <w:ind w:left="360" w:hanging="360"/>
      </w:pPr>
    </w:lvl>
  </w:abstractNum>
  <w:abstractNum w:abstractNumId="5"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722BF4"/>
    <w:multiLevelType w:val="hybridMultilevel"/>
    <w:tmpl w:val="5BFADC6A"/>
    <w:lvl w:ilvl="0" w:tplc="4BC40BBE">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8" w15:restartNumberingAfterBreak="0">
    <w:nsid w:val="20C01ADF"/>
    <w:multiLevelType w:val="multilevel"/>
    <w:tmpl w:val="D10EBDDC"/>
    <w:numStyleLink w:val="ListParagraph2"/>
  </w:abstractNum>
  <w:abstractNum w:abstractNumId="9" w15:restartNumberingAfterBreak="0">
    <w:nsid w:val="21D810B3"/>
    <w:multiLevelType w:val="hybridMultilevel"/>
    <w:tmpl w:val="B55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C593F"/>
    <w:multiLevelType w:val="hybridMultilevel"/>
    <w:tmpl w:val="0F6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2" w15:restartNumberingAfterBreak="0">
    <w:nsid w:val="38247BB4"/>
    <w:multiLevelType w:val="hybridMultilevel"/>
    <w:tmpl w:val="0C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21A4C"/>
    <w:multiLevelType w:val="multilevel"/>
    <w:tmpl w:val="D10EBDDC"/>
    <w:numStyleLink w:val="ListParagraph2"/>
  </w:abstractNum>
  <w:abstractNum w:abstractNumId="14"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6"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7" w15:restartNumberingAfterBreak="0">
    <w:nsid w:val="683220D4"/>
    <w:multiLevelType w:val="hybridMultilevel"/>
    <w:tmpl w:val="3DEE3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92F7D58"/>
    <w:multiLevelType w:val="hybridMultilevel"/>
    <w:tmpl w:val="E8BE66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5C30182"/>
    <w:multiLevelType w:val="hybridMultilevel"/>
    <w:tmpl w:val="22AEC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E111733"/>
    <w:multiLevelType w:val="hybridMultilevel"/>
    <w:tmpl w:val="5C84A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6"/>
  </w:num>
  <w:num w:numId="5">
    <w:abstractNumId w:val="4"/>
  </w:num>
  <w:num w:numId="6">
    <w:abstractNumId w:val="3"/>
  </w:num>
  <w:num w:numId="7">
    <w:abstractNumId w:val="2"/>
  </w:num>
  <w:num w:numId="8">
    <w:abstractNumId w:val="1"/>
  </w:num>
  <w:num w:numId="9">
    <w:abstractNumId w:val="0"/>
  </w:num>
  <w:num w:numId="10">
    <w:abstractNumId w:val="19"/>
  </w:num>
  <w:num w:numId="11">
    <w:abstractNumId w:val="7"/>
  </w:num>
  <w:num w:numId="12">
    <w:abstractNumId w:val="13"/>
  </w:num>
  <w:num w:numId="13">
    <w:abstractNumId w:val="11"/>
  </w:num>
  <w:num w:numId="14">
    <w:abstractNumId w:val="6"/>
  </w:num>
  <w:num w:numId="15">
    <w:abstractNumId w:val="18"/>
  </w:num>
  <w:num w:numId="16">
    <w:abstractNumId w:val="9"/>
  </w:num>
  <w:num w:numId="17">
    <w:abstractNumId w:val="12"/>
  </w:num>
  <w:num w:numId="18">
    <w:abstractNumId w:val="10"/>
  </w:num>
  <w:num w:numId="19">
    <w:abstractNumId w:val="5"/>
  </w:num>
  <w:num w:numId="20">
    <w:abstractNumId w:val="17"/>
  </w:num>
  <w:num w:numId="21">
    <w:abstractNumId w:val="16"/>
  </w:num>
  <w:num w:numId="22">
    <w:abstractNumId w:val="16"/>
  </w:num>
  <w:num w:numId="23">
    <w:abstractNumId w:val="16"/>
  </w:num>
  <w:num w:numId="24">
    <w:abstractNumId w:val="20"/>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C"/>
    <w:rsid w:val="00003021"/>
    <w:rsid w:val="000210FC"/>
    <w:rsid w:val="000478F2"/>
    <w:rsid w:val="00047E79"/>
    <w:rsid w:val="000812F1"/>
    <w:rsid w:val="00085D16"/>
    <w:rsid w:val="0008644F"/>
    <w:rsid w:val="00095D3C"/>
    <w:rsid w:val="000A07EC"/>
    <w:rsid w:val="000B78BF"/>
    <w:rsid w:val="000E700A"/>
    <w:rsid w:val="000F4AFE"/>
    <w:rsid w:val="001061A4"/>
    <w:rsid w:val="0010760C"/>
    <w:rsid w:val="00124B32"/>
    <w:rsid w:val="00127AB9"/>
    <w:rsid w:val="00130F5B"/>
    <w:rsid w:val="0014227E"/>
    <w:rsid w:val="00143220"/>
    <w:rsid w:val="001574C8"/>
    <w:rsid w:val="00165F38"/>
    <w:rsid w:val="00167BD7"/>
    <w:rsid w:val="00171329"/>
    <w:rsid w:val="00186515"/>
    <w:rsid w:val="00190DF5"/>
    <w:rsid w:val="00190EA0"/>
    <w:rsid w:val="0019335F"/>
    <w:rsid w:val="001C6435"/>
    <w:rsid w:val="001D258D"/>
    <w:rsid w:val="001E4366"/>
    <w:rsid w:val="00222C6C"/>
    <w:rsid w:val="00230C82"/>
    <w:rsid w:val="00234030"/>
    <w:rsid w:val="00240F10"/>
    <w:rsid w:val="00251B38"/>
    <w:rsid w:val="00260FFD"/>
    <w:rsid w:val="00271278"/>
    <w:rsid w:val="002762ED"/>
    <w:rsid w:val="0028219F"/>
    <w:rsid w:val="00282F5C"/>
    <w:rsid w:val="00284BE4"/>
    <w:rsid w:val="002A2212"/>
    <w:rsid w:val="002A56F9"/>
    <w:rsid w:val="002B08D9"/>
    <w:rsid w:val="002B7212"/>
    <w:rsid w:val="002C45C5"/>
    <w:rsid w:val="002C58CC"/>
    <w:rsid w:val="002C7C85"/>
    <w:rsid w:val="002D2351"/>
    <w:rsid w:val="002D755B"/>
    <w:rsid w:val="002E1D40"/>
    <w:rsid w:val="002E24A9"/>
    <w:rsid w:val="002F2616"/>
    <w:rsid w:val="002F57DB"/>
    <w:rsid w:val="00316AAF"/>
    <w:rsid w:val="00317E65"/>
    <w:rsid w:val="00320A32"/>
    <w:rsid w:val="003234D8"/>
    <w:rsid w:val="00336EBD"/>
    <w:rsid w:val="00350786"/>
    <w:rsid w:val="00352FC3"/>
    <w:rsid w:val="00363128"/>
    <w:rsid w:val="00364556"/>
    <w:rsid w:val="00371454"/>
    <w:rsid w:val="00372212"/>
    <w:rsid w:val="00375A2A"/>
    <w:rsid w:val="00375BAB"/>
    <w:rsid w:val="00375E73"/>
    <w:rsid w:val="00386FDC"/>
    <w:rsid w:val="00391EBD"/>
    <w:rsid w:val="003B0ED5"/>
    <w:rsid w:val="003B7D36"/>
    <w:rsid w:val="003E4434"/>
    <w:rsid w:val="003E462C"/>
    <w:rsid w:val="003E702D"/>
    <w:rsid w:val="0041211E"/>
    <w:rsid w:val="00412B2A"/>
    <w:rsid w:val="00416032"/>
    <w:rsid w:val="004316A7"/>
    <w:rsid w:val="0044627D"/>
    <w:rsid w:val="00460F5C"/>
    <w:rsid w:val="004620FC"/>
    <w:rsid w:val="00463F71"/>
    <w:rsid w:val="004744E6"/>
    <w:rsid w:val="0048657A"/>
    <w:rsid w:val="004913D9"/>
    <w:rsid w:val="004916EB"/>
    <w:rsid w:val="004973A1"/>
    <w:rsid w:val="004A5B99"/>
    <w:rsid w:val="004B12B0"/>
    <w:rsid w:val="004D1411"/>
    <w:rsid w:val="004E65B7"/>
    <w:rsid w:val="004E7635"/>
    <w:rsid w:val="00503E52"/>
    <w:rsid w:val="0050608A"/>
    <w:rsid w:val="00510465"/>
    <w:rsid w:val="0051699C"/>
    <w:rsid w:val="00523220"/>
    <w:rsid w:val="00524F3B"/>
    <w:rsid w:val="005372A5"/>
    <w:rsid w:val="00551DCD"/>
    <w:rsid w:val="00567F6D"/>
    <w:rsid w:val="005740D4"/>
    <w:rsid w:val="005824BA"/>
    <w:rsid w:val="00582ADA"/>
    <w:rsid w:val="005A7A79"/>
    <w:rsid w:val="005B3981"/>
    <w:rsid w:val="005C58EE"/>
    <w:rsid w:val="005C6F0D"/>
    <w:rsid w:val="005C7B61"/>
    <w:rsid w:val="005E1E22"/>
    <w:rsid w:val="005E2597"/>
    <w:rsid w:val="005E4AB7"/>
    <w:rsid w:val="00602164"/>
    <w:rsid w:val="00606FE3"/>
    <w:rsid w:val="00607AA0"/>
    <w:rsid w:val="0062410B"/>
    <w:rsid w:val="00625778"/>
    <w:rsid w:val="00641455"/>
    <w:rsid w:val="00647645"/>
    <w:rsid w:val="006571A9"/>
    <w:rsid w:val="00667A77"/>
    <w:rsid w:val="00674680"/>
    <w:rsid w:val="00680FB7"/>
    <w:rsid w:val="00683411"/>
    <w:rsid w:val="00694115"/>
    <w:rsid w:val="006B1F2C"/>
    <w:rsid w:val="006B2AFF"/>
    <w:rsid w:val="006B369D"/>
    <w:rsid w:val="006C59A1"/>
    <w:rsid w:val="006D1CE6"/>
    <w:rsid w:val="006E035A"/>
    <w:rsid w:val="006E2F12"/>
    <w:rsid w:val="006F7D65"/>
    <w:rsid w:val="007179BB"/>
    <w:rsid w:val="007457CC"/>
    <w:rsid w:val="00753435"/>
    <w:rsid w:val="007750EC"/>
    <w:rsid w:val="007A45BD"/>
    <w:rsid w:val="007A731A"/>
    <w:rsid w:val="007B3D3C"/>
    <w:rsid w:val="007D1327"/>
    <w:rsid w:val="007D4710"/>
    <w:rsid w:val="00802EC2"/>
    <w:rsid w:val="00820C21"/>
    <w:rsid w:val="00821D25"/>
    <w:rsid w:val="00824B22"/>
    <w:rsid w:val="00825CDF"/>
    <w:rsid w:val="0083737A"/>
    <w:rsid w:val="00850ABD"/>
    <w:rsid w:val="008607AA"/>
    <w:rsid w:val="00864907"/>
    <w:rsid w:val="008742B5"/>
    <w:rsid w:val="00881D54"/>
    <w:rsid w:val="008845BC"/>
    <w:rsid w:val="00891566"/>
    <w:rsid w:val="00895AEE"/>
    <w:rsid w:val="00896007"/>
    <w:rsid w:val="008A3E3D"/>
    <w:rsid w:val="008A6220"/>
    <w:rsid w:val="008E1020"/>
    <w:rsid w:val="008F2C87"/>
    <w:rsid w:val="00910995"/>
    <w:rsid w:val="00910A09"/>
    <w:rsid w:val="00916BBE"/>
    <w:rsid w:val="009262FF"/>
    <w:rsid w:val="009273E0"/>
    <w:rsid w:val="00933499"/>
    <w:rsid w:val="00935B3E"/>
    <w:rsid w:val="0093679D"/>
    <w:rsid w:val="00952F31"/>
    <w:rsid w:val="00956F2B"/>
    <w:rsid w:val="00957C85"/>
    <w:rsid w:val="00957ECC"/>
    <w:rsid w:val="00965B3D"/>
    <w:rsid w:val="00967028"/>
    <w:rsid w:val="009906EE"/>
    <w:rsid w:val="00997055"/>
    <w:rsid w:val="009B1D04"/>
    <w:rsid w:val="009B6490"/>
    <w:rsid w:val="009C1712"/>
    <w:rsid w:val="009C2BBE"/>
    <w:rsid w:val="009D2F80"/>
    <w:rsid w:val="009D7088"/>
    <w:rsid w:val="009F2568"/>
    <w:rsid w:val="009F5062"/>
    <w:rsid w:val="009F5940"/>
    <w:rsid w:val="00A00809"/>
    <w:rsid w:val="00A011AF"/>
    <w:rsid w:val="00A12747"/>
    <w:rsid w:val="00A1495C"/>
    <w:rsid w:val="00A22E89"/>
    <w:rsid w:val="00A235BD"/>
    <w:rsid w:val="00A31631"/>
    <w:rsid w:val="00A37911"/>
    <w:rsid w:val="00A54729"/>
    <w:rsid w:val="00A56762"/>
    <w:rsid w:val="00A65687"/>
    <w:rsid w:val="00A761D4"/>
    <w:rsid w:val="00A8047C"/>
    <w:rsid w:val="00A829C3"/>
    <w:rsid w:val="00AA4CE2"/>
    <w:rsid w:val="00AB1054"/>
    <w:rsid w:val="00AC5F44"/>
    <w:rsid w:val="00AD11B0"/>
    <w:rsid w:val="00AE20AE"/>
    <w:rsid w:val="00AE4AD0"/>
    <w:rsid w:val="00AE5FF9"/>
    <w:rsid w:val="00AE74FF"/>
    <w:rsid w:val="00AF091A"/>
    <w:rsid w:val="00B030E7"/>
    <w:rsid w:val="00B03DC9"/>
    <w:rsid w:val="00B07C49"/>
    <w:rsid w:val="00B14328"/>
    <w:rsid w:val="00B228CB"/>
    <w:rsid w:val="00B2341C"/>
    <w:rsid w:val="00B40B38"/>
    <w:rsid w:val="00B41721"/>
    <w:rsid w:val="00B473F6"/>
    <w:rsid w:val="00B57457"/>
    <w:rsid w:val="00B60B7D"/>
    <w:rsid w:val="00B66F5D"/>
    <w:rsid w:val="00B67035"/>
    <w:rsid w:val="00B715DC"/>
    <w:rsid w:val="00B77DE8"/>
    <w:rsid w:val="00BA0988"/>
    <w:rsid w:val="00BA2756"/>
    <w:rsid w:val="00BB1268"/>
    <w:rsid w:val="00BC4F0A"/>
    <w:rsid w:val="00BC570E"/>
    <w:rsid w:val="00BD2063"/>
    <w:rsid w:val="00BD3458"/>
    <w:rsid w:val="00BE1F4D"/>
    <w:rsid w:val="00BE493A"/>
    <w:rsid w:val="00BE56A1"/>
    <w:rsid w:val="00BF5731"/>
    <w:rsid w:val="00BF697D"/>
    <w:rsid w:val="00C002D7"/>
    <w:rsid w:val="00C00B06"/>
    <w:rsid w:val="00C02C75"/>
    <w:rsid w:val="00C10431"/>
    <w:rsid w:val="00C25367"/>
    <w:rsid w:val="00C32E8A"/>
    <w:rsid w:val="00C36687"/>
    <w:rsid w:val="00C41484"/>
    <w:rsid w:val="00C46160"/>
    <w:rsid w:val="00C50105"/>
    <w:rsid w:val="00C632FD"/>
    <w:rsid w:val="00C64A14"/>
    <w:rsid w:val="00C76B03"/>
    <w:rsid w:val="00C80C5A"/>
    <w:rsid w:val="00C87F3F"/>
    <w:rsid w:val="00C92724"/>
    <w:rsid w:val="00C9774D"/>
    <w:rsid w:val="00CB392B"/>
    <w:rsid w:val="00CC5ED0"/>
    <w:rsid w:val="00CD5901"/>
    <w:rsid w:val="00CF0EC4"/>
    <w:rsid w:val="00CF2B21"/>
    <w:rsid w:val="00D02BF7"/>
    <w:rsid w:val="00D11E0D"/>
    <w:rsid w:val="00D16EE8"/>
    <w:rsid w:val="00D218D7"/>
    <w:rsid w:val="00D23523"/>
    <w:rsid w:val="00D30CBE"/>
    <w:rsid w:val="00D424E1"/>
    <w:rsid w:val="00D771F4"/>
    <w:rsid w:val="00D80288"/>
    <w:rsid w:val="00D84D0F"/>
    <w:rsid w:val="00D85CA5"/>
    <w:rsid w:val="00D940A8"/>
    <w:rsid w:val="00DA10E1"/>
    <w:rsid w:val="00DA7F12"/>
    <w:rsid w:val="00DB046A"/>
    <w:rsid w:val="00DB32CB"/>
    <w:rsid w:val="00DB538F"/>
    <w:rsid w:val="00DB7E06"/>
    <w:rsid w:val="00DB7E2F"/>
    <w:rsid w:val="00DC4303"/>
    <w:rsid w:val="00DC6897"/>
    <w:rsid w:val="00DD115B"/>
    <w:rsid w:val="00DE08B9"/>
    <w:rsid w:val="00DE2E06"/>
    <w:rsid w:val="00DE3E55"/>
    <w:rsid w:val="00DF1854"/>
    <w:rsid w:val="00DF215D"/>
    <w:rsid w:val="00E01C4C"/>
    <w:rsid w:val="00E1194A"/>
    <w:rsid w:val="00E11C3C"/>
    <w:rsid w:val="00E25A54"/>
    <w:rsid w:val="00E3041F"/>
    <w:rsid w:val="00E322AD"/>
    <w:rsid w:val="00E35BCB"/>
    <w:rsid w:val="00E36A5C"/>
    <w:rsid w:val="00E62F48"/>
    <w:rsid w:val="00E66C92"/>
    <w:rsid w:val="00E73580"/>
    <w:rsid w:val="00E80D80"/>
    <w:rsid w:val="00E84054"/>
    <w:rsid w:val="00E91D85"/>
    <w:rsid w:val="00E956CB"/>
    <w:rsid w:val="00EA6F24"/>
    <w:rsid w:val="00EA7857"/>
    <w:rsid w:val="00EA7DA6"/>
    <w:rsid w:val="00EB4A63"/>
    <w:rsid w:val="00EB619C"/>
    <w:rsid w:val="00EF689E"/>
    <w:rsid w:val="00F01707"/>
    <w:rsid w:val="00F0458B"/>
    <w:rsid w:val="00F11DCF"/>
    <w:rsid w:val="00F171F4"/>
    <w:rsid w:val="00F32808"/>
    <w:rsid w:val="00F3308A"/>
    <w:rsid w:val="00F3348E"/>
    <w:rsid w:val="00F33B7D"/>
    <w:rsid w:val="00F40930"/>
    <w:rsid w:val="00F4553C"/>
    <w:rsid w:val="00F5010F"/>
    <w:rsid w:val="00F51658"/>
    <w:rsid w:val="00F64032"/>
    <w:rsid w:val="00F65A60"/>
    <w:rsid w:val="00F6689A"/>
    <w:rsid w:val="00F7234B"/>
    <w:rsid w:val="00F769F3"/>
    <w:rsid w:val="00F77B49"/>
    <w:rsid w:val="00F8316F"/>
    <w:rsid w:val="00FA3516"/>
    <w:rsid w:val="00FA38BC"/>
    <w:rsid w:val="00FB08CD"/>
    <w:rsid w:val="00FB2AD8"/>
    <w:rsid w:val="00FC0513"/>
    <w:rsid w:val="00FE23E6"/>
    <w:rsid w:val="00FE736F"/>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4FB0C"/>
  <w15:docId w15:val="{86554392-A017-4474-AF73-00A0C57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0F5C"/>
    <w:pPr>
      <w:spacing w:line="240" w:lineRule="auto"/>
    </w:pPr>
    <w:rPr>
      <w:color w:val="auto"/>
      <w:sz w:val="24"/>
      <w:szCs w:val="24"/>
    </w:rPr>
  </w:style>
  <w:style w:type="paragraph" w:styleId="Heading1">
    <w:name w:val="heading 1"/>
    <w:next w:val="Normal"/>
    <w:link w:val="Heading1Char"/>
    <w:qFormat/>
    <w:rsid w:val="002D755B"/>
    <w:pPr>
      <w:keepNext/>
      <w:keepLines/>
      <w:pageBreakBefore/>
      <w:numPr>
        <w:numId w:val="3"/>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3"/>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3"/>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3"/>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1"/>
    <w:semiHidden/>
    <w:qFormat/>
    <w:rsid w:val="005824BA"/>
    <w:pPr>
      <w:numPr>
        <w:numId w:val="13"/>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2"/>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0"/>
      <w:szCs w:val="22"/>
    </w:rPr>
  </w:style>
  <w:style w:type="numbering" w:customStyle="1" w:styleId="ListParagraph2">
    <w:name w:val="List Paragraph 2"/>
    <w:uiPriority w:val="99"/>
    <w:rsid w:val="00AA4CE2"/>
    <w:pPr>
      <w:numPr>
        <w:numId w:val="11"/>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F4553C"/>
    <w:pPr>
      <w:numPr>
        <w:numId w:val="4"/>
      </w:numPr>
      <w:contextualSpacing/>
    </w:pPr>
    <w:rPr>
      <w:sz w:val="20"/>
    </w:rPr>
  </w:style>
  <w:style w:type="paragraph" w:styleId="ListBullet2">
    <w:name w:val="List Bullet 2"/>
    <w:basedOn w:val="Normal"/>
    <w:qFormat/>
    <w:rsid w:val="00F4553C"/>
    <w:pPr>
      <w:numPr>
        <w:ilvl w:val="1"/>
        <w:numId w:val="4"/>
      </w:numPr>
      <w:ind w:left="567" w:hanging="227"/>
      <w:contextualSpacing/>
    </w:pPr>
    <w:rPr>
      <w:sz w:val="20"/>
    </w:rPr>
  </w:style>
  <w:style w:type="paragraph" w:styleId="ListBullet3">
    <w:name w:val="List Bullet 3"/>
    <w:basedOn w:val="Normal"/>
    <w:uiPriority w:val="99"/>
    <w:unhideWhenUsed/>
    <w:rsid w:val="002C45C5"/>
    <w:pPr>
      <w:numPr>
        <w:ilvl w:val="2"/>
        <w:numId w:val="4"/>
      </w:numPr>
      <w:ind w:left="794" w:hanging="227"/>
      <w:contextualSpacing/>
    </w:pPr>
  </w:style>
  <w:style w:type="paragraph" w:styleId="ListBullet4">
    <w:name w:val="List Bullet 4"/>
    <w:basedOn w:val="Normal"/>
    <w:uiPriority w:val="99"/>
    <w:unhideWhenUsed/>
    <w:rsid w:val="002C45C5"/>
    <w:pPr>
      <w:numPr>
        <w:ilvl w:val="3"/>
        <w:numId w:val="4"/>
      </w:numPr>
      <w:ind w:left="1021" w:hanging="227"/>
      <w:contextualSpacing/>
    </w:pPr>
  </w:style>
  <w:style w:type="paragraph" w:styleId="ListBullet5">
    <w:name w:val="List Bullet 5"/>
    <w:basedOn w:val="Normal"/>
    <w:uiPriority w:val="99"/>
    <w:unhideWhenUsed/>
    <w:rsid w:val="002C45C5"/>
    <w:pPr>
      <w:numPr>
        <w:ilvl w:val="4"/>
        <w:numId w:val="4"/>
      </w:numPr>
      <w:ind w:left="1248" w:hanging="227"/>
      <w:contextualSpacing/>
    </w:p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customStyle="1" w:styleId="List2">
    <w:name w:val="List2"/>
    <w:basedOn w:val="Normal"/>
    <w:qFormat/>
    <w:rsid w:val="00460F5C"/>
    <w:pPr>
      <w:ind w:left="1080" w:hanging="360"/>
    </w:pPr>
    <w:rPr>
      <w:rFonts w:ascii="Calibri" w:hAnsi="Calibri"/>
      <w:sz w:val="22"/>
    </w:rPr>
  </w:style>
  <w:style w:type="paragraph" w:styleId="CommentSubject">
    <w:name w:val="annotation subject"/>
    <w:basedOn w:val="CommentText"/>
    <w:next w:val="CommentText"/>
    <w:link w:val="CommentSubjectChar"/>
    <w:uiPriority w:val="99"/>
    <w:semiHidden/>
    <w:unhideWhenUsed/>
    <w:rsid w:val="00234030"/>
    <w:pPr>
      <w:spacing w:after="0"/>
    </w:pPr>
    <w:rPr>
      <w:b/>
      <w:bCs/>
      <w:sz w:val="20"/>
      <w:szCs w:val="20"/>
      <w:lang w:val="en-ZA"/>
    </w:rPr>
  </w:style>
  <w:style w:type="character" w:customStyle="1" w:styleId="CommentSubjectChar">
    <w:name w:val="Comment Subject Char"/>
    <w:basedOn w:val="CommentTextChar"/>
    <w:link w:val="CommentSubject"/>
    <w:uiPriority w:val="99"/>
    <w:semiHidden/>
    <w:rsid w:val="00234030"/>
    <w:rPr>
      <w:rFonts w:eastAsiaTheme="minorHAnsi"/>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01B1-855D-4738-8911-68D162E2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Fatima Karodia</dc:creator>
  <cp:keywords/>
  <dc:description/>
  <cp:lastModifiedBy>Fatima Karodia</cp:lastModifiedBy>
  <cp:revision>2</cp:revision>
  <cp:lastPrinted>2015-03-06T09:52:00Z</cp:lastPrinted>
  <dcterms:created xsi:type="dcterms:W3CDTF">2018-01-24T08:39:00Z</dcterms:created>
  <dcterms:modified xsi:type="dcterms:W3CDTF">2018-01-24T08:39:00Z</dcterms:modified>
</cp:coreProperties>
</file>